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85C7A" w14:textId="77777777" w:rsidR="00F91B31" w:rsidRPr="00F91B31" w:rsidRDefault="00F91B31" w:rsidP="00F91B31">
      <w:pPr>
        <w:jc w:val="right"/>
      </w:pPr>
      <w:r w:rsidRPr="00F91B31">
        <w:rPr>
          <w:b/>
          <w:bCs/>
          <w:rtl/>
        </w:rPr>
        <w:t>قانون رقم (13) لسنة 2019</w:t>
      </w:r>
      <w:r w:rsidRPr="00F91B31">
        <w:rPr>
          <w:b/>
          <w:bCs/>
          <w:rtl/>
        </w:rPr>
        <w:br/>
        <w:t>بتعديل بعض أحكام القانون رقم (19) لسنة 2005</w:t>
      </w:r>
      <w:r w:rsidRPr="00F91B31">
        <w:rPr>
          <w:b/>
          <w:bCs/>
          <w:rtl/>
        </w:rPr>
        <w:br/>
        <w:t>في الملكية العقارية</w:t>
      </w:r>
      <w:r w:rsidRPr="00F91B31">
        <w:rPr>
          <w:b/>
          <w:bCs/>
          <w:rtl/>
        </w:rPr>
        <w:br/>
      </w:r>
      <w:r w:rsidRPr="00F91B31">
        <w:rPr>
          <w:b/>
          <w:bCs/>
          <w:rtl/>
        </w:rPr>
        <w:br/>
        <w:t> </w:t>
      </w:r>
    </w:p>
    <w:p w14:paraId="45C06CF7" w14:textId="77777777" w:rsidR="00F91B31" w:rsidRPr="00F91B31" w:rsidRDefault="00F91B31" w:rsidP="00F91B31">
      <w:pPr>
        <w:jc w:val="right"/>
        <w:rPr>
          <w:rtl/>
        </w:rPr>
      </w:pPr>
      <w:r w:rsidRPr="00F91B31">
        <w:rPr>
          <w:b/>
          <w:bCs/>
          <w:rtl/>
        </w:rPr>
        <w:t>نحن خليفة بن زايد آل نهيان، حاكم أبو ظبي.</w:t>
      </w:r>
      <w:r w:rsidRPr="00F91B31">
        <w:rPr>
          <w:b/>
          <w:bCs/>
          <w:rtl/>
        </w:rPr>
        <w:br/>
      </w:r>
      <w:r w:rsidRPr="00F91B31">
        <w:rPr>
          <w:rtl/>
        </w:rPr>
        <w:t>* بعد الاطلاع على القانون رقم (1) لسنة 1974 بإعادة تنظيم الجهاز الحكومي في إمارة أبو ظبي وتعديلاته.</w:t>
      </w:r>
      <w:r w:rsidRPr="00F91B31">
        <w:rPr>
          <w:rtl/>
        </w:rPr>
        <w:br/>
        <w:t>* وعلى القانون رقم (2) لسنة 1971 في شأن المجلس الاستشاري الوطني وتعديلاته.</w:t>
      </w:r>
      <w:r w:rsidRPr="00F91B31">
        <w:rPr>
          <w:rtl/>
        </w:rPr>
        <w:br/>
        <w:t>* وعلى القانون رقم (19) لسنة 2005 في الملكية العقارية وتعديلاته.</w:t>
      </w:r>
      <w:r w:rsidRPr="00F91B31">
        <w:rPr>
          <w:rtl/>
        </w:rPr>
        <w:br/>
        <w:t>* وبناءً على ما عرض على المجلس التنفيذي، وموافقة المجلس عليه.</w:t>
      </w:r>
      <w:r w:rsidRPr="00F91B31">
        <w:rPr>
          <w:rtl/>
        </w:rPr>
        <w:br/>
        <w:t>* </w:t>
      </w:r>
      <w:r w:rsidRPr="00F91B31">
        <w:rPr>
          <w:b/>
          <w:bCs/>
          <w:rtl/>
        </w:rPr>
        <w:t>أصدرنا القانون الآتي:</w:t>
      </w:r>
    </w:p>
    <w:p w14:paraId="022125DD" w14:textId="77777777" w:rsidR="00F91B31" w:rsidRPr="00F91B31" w:rsidRDefault="00F91B31" w:rsidP="00F91B31">
      <w:pPr>
        <w:jc w:val="right"/>
        <w:rPr>
          <w:rtl/>
        </w:rPr>
      </w:pPr>
      <w:r w:rsidRPr="00F91B31">
        <w:rPr>
          <w:b/>
          <w:bCs/>
          <w:rtl/>
        </w:rPr>
        <w:t>المادة الأولى</w:t>
      </w:r>
    </w:p>
    <w:p w14:paraId="4CB63280" w14:textId="77777777" w:rsidR="00F91B31" w:rsidRPr="00F91B31" w:rsidRDefault="00F91B31" w:rsidP="00F91B31">
      <w:pPr>
        <w:jc w:val="right"/>
        <w:rPr>
          <w:rtl/>
        </w:rPr>
      </w:pPr>
      <w:r w:rsidRPr="00F91B31">
        <w:rPr>
          <w:rtl/>
        </w:rPr>
        <w:t>يستبدل بنصي المادتين (3) و(4) من القانون رقم (19) لسنة 2005 المشار إليه، النصان التاليان:</w:t>
      </w:r>
      <w:r w:rsidRPr="00F91B31">
        <w:rPr>
          <w:rtl/>
        </w:rPr>
        <w:br/>
      </w:r>
      <w:r w:rsidRPr="00F91B31">
        <w:rPr>
          <w:b/>
          <w:bCs/>
          <w:rtl/>
        </w:rPr>
        <w:t>مادة (3):</w:t>
      </w:r>
      <w:r w:rsidRPr="00F91B31">
        <w:rPr>
          <w:b/>
          <w:bCs/>
          <w:rtl/>
        </w:rPr>
        <w:br/>
      </w:r>
      <w:r w:rsidRPr="00F91B31">
        <w:rPr>
          <w:rtl/>
        </w:rPr>
        <w:t>1. يقتصر حق تملك العقارات على الفئات الآتية:</w:t>
      </w:r>
      <w:r w:rsidRPr="00F91B31">
        <w:rPr>
          <w:rtl/>
        </w:rPr>
        <w:br/>
        <w:t>أ. المواطنون ومن في حكمهم من الأشخاص الطبيعية والاعتبارية.</w:t>
      </w:r>
      <w:r w:rsidRPr="00F91B31">
        <w:rPr>
          <w:rtl/>
        </w:rPr>
        <w:br/>
        <w:t>ب. شركات المساهمة العامة التي لا تزيد نسبة مساهمة غير المواطنين فيها على 49%.</w:t>
      </w:r>
      <w:r w:rsidRPr="00F91B31">
        <w:rPr>
          <w:rtl/>
        </w:rPr>
        <w:br/>
        <w:t>جـ. كل من يصدر بشأنه قرار من ولي العهد أو رئيس المجلس التنفيذي.</w:t>
      </w:r>
      <w:r w:rsidRPr="00F91B31">
        <w:rPr>
          <w:rtl/>
        </w:rPr>
        <w:br/>
        <w:t>2. لغير المواطنين من أشخاص طبيعية أو اعتبارية تملك واكتساب كافة الحقوق العينية الأصلية والتبعية على العقارات الواقعة داخل المناطق الاستثمارية، ولهم إجراء أي تصرف على هذه العقارات.</w:t>
      </w:r>
      <w:r w:rsidRPr="00F91B31">
        <w:rPr>
          <w:rtl/>
        </w:rPr>
        <w:br/>
      </w:r>
      <w:r w:rsidRPr="00F91B31">
        <w:rPr>
          <w:b/>
          <w:bCs/>
          <w:rtl/>
        </w:rPr>
        <w:t>مادة (4):</w:t>
      </w:r>
      <w:r w:rsidRPr="00F91B31">
        <w:rPr>
          <w:b/>
          <w:bCs/>
          <w:rtl/>
        </w:rPr>
        <w:br/>
      </w:r>
      <w:r w:rsidRPr="00F91B31">
        <w:rPr>
          <w:rtl/>
        </w:rPr>
        <w:t xml:space="preserve">لمن له حق الانتفاع أو حق </w:t>
      </w:r>
      <w:proofErr w:type="spellStart"/>
      <w:r w:rsidRPr="00F91B31">
        <w:rPr>
          <w:rtl/>
        </w:rPr>
        <w:t>المساطحة</w:t>
      </w:r>
      <w:proofErr w:type="spellEnd"/>
      <w:r w:rsidRPr="00F91B31">
        <w:rPr>
          <w:rtl/>
        </w:rPr>
        <w:t xml:space="preserve"> لمدة تزيد على عشر سنوات، وبغير إذن المالك، التصرف في هذا الحق بما في ذلك رهنه، ولا يجوز لمالك العقار رهنه إلا بموافقة صاحب حق الانتفاع أو </w:t>
      </w:r>
      <w:proofErr w:type="spellStart"/>
      <w:r w:rsidRPr="00F91B31">
        <w:rPr>
          <w:rtl/>
        </w:rPr>
        <w:t>المساطحة</w:t>
      </w:r>
      <w:proofErr w:type="spellEnd"/>
      <w:r w:rsidRPr="00F91B31">
        <w:rPr>
          <w:rtl/>
        </w:rPr>
        <w:t>، وفي الحالتين يجوز للطرفين الاتفاق على خلاف ذلك.</w:t>
      </w:r>
    </w:p>
    <w:p w14:paraId="04BC4095" w14:textId="77777777" w:rsidR="00F91B31" w:rsidRPr="00F91B31" w:rsidRDefault="00F91B31" w:rsidP="00F91B31">
      <w:pPr>
        <w:jc w:val="right"/>
        <w:rPr>
          <w:rtl/>
        </w:rPr>
      </w:pPr>
      <w:r w:rsidRPr="00F91B31">
        <w:rPr>
          <w:b/>
          <w:bCs/>
          <w:rtl/>
        </w:rPr>
        <w:t>المادة الثانية</w:t>
      </w:r>
    </w:p>
    <w:p w14:paraId="450643B5" w14:textId="77777777" w:rsidR="00F91B31" w:rsidRPr="00F91B31" w:rsidRDefault="00F91B31" w:rsidP="00F91B31">
      <w:pPr>
        <w:jc w:val="right"/>
        <w:rPr>
          <w:rtl/>
        </w:rPr>
      </w:pPr>
      <w:r w:rsidRPr="00F91B31">
        <w:rPr>
          <w:rtl/>
        </w:rPr>
        <w:t>يلغى كل نص أو حكم يخالف أو يتعارض مع أحكام هذا القانون.</w:t>
      </w:r>
    </w:p>
    <w:p w14:paraId="1C605DB5" w14:textId="77777777" w:rsidR="00F91B31" w:rsidRPr="00F91B31" w:rsidRDefault="00F91B31" w:rsidP="00F91B31">
      <w:pPr>
        <w:jc w:val="right"/>
        <w:rPr>
          <w:rtl/>
        </w:rPr>
      </w:pPr>
      <w:r w:rsidRPr="00F91B31">
        <w:rPr>
          <w:b/>
          <w:bCs/>
          <w:rtl/>
        </w:rPr>
        <w:t>المادة الثالثة</w:t>
      </w:r>
    </w:p>
    <w:p w14:paraId="37F7B242" w14:textId="77777777" w:rsidR="00F91B31" w:rsidRPr="00F91B31" w:rsidRDefault="00F91B31" w:rsidP="00F91B31">
      <w:pPr>
        <w:jc w:val="right"/>
        <w:rPr>
          <w:rtl/>
        </w:rPr>
      </w:pPr>
      <w:r w:rsidRPr="00F91B31">
        <w:rPr>
          <w:rtl/>
        </w:rPr>
        <w:t>ينفذ هذا القانون من تاريخ صدوره، وينشر في الجريدة الرسمية.</w:t>
      </w:r>
    </w:p>
    <w:p w14:paraId="347E6F16" w14:textId="77777777" w:rsidR="00F91B31" w:rsidRPr="00F91B31" w:rsidRDefault="00F91B31" w:rsidP="00F91B31">
      <w:pPr>
        <w:jc w:val="right"/>
        <w:rPr>
          <w:rtl/>
        </w:rPr>
      </w:pPr>
      <w:r w:rsidRPr="00F91B31">
        <w:rPr>
          <w:b/>
          <w:bCs/>
          <w:rtl/>
        </w:rPr>
        <w:t>خليفة بن زايد آل نهيان</w:t>
      </w:r>
      <w:r w:rsidRPr="00F91B31">
        <w:rPr>
          <w:b/>
          <w:bCs/>
          <w:rtl/>
        </w:rPr>
        <w:br/>
        <w:t>حاكم أبو ظبي</w:t>
      </w:r>
    </w:p>
    <w:p w14:paraId="7178620D" w14:textId="77777777" w:rsidR="00F91B31" w:rsidRPr="00F91B31" w:rsidRDefault="00F91B31" w:rsidP="00F91B31">
      <w:pPr>
        <w:jc w:val="right"/>
        <w:rPr>
          <w:rtl/>
        </w:rPr>
      </w:pPr>
      <w:r w:rsidRPr="00F91B31">
        <w:rPr>
          <w:b/>
          <w:bCs/>
          <w:rtl/>
        </w:rPr>
        <w:t>صدر عنا في أبو ظبي</w:t>
      </w:r>
      <w:r w:rsidRPr="00F91B31">
        <w:rPr>
          <w:b/>
          <w:bCs/>
          <w:rtl/>
        </w:rPr>
        <w:br/>
        <w:t>بتاريخ: 16-أبريل-2019م</w:t>
      </w:r>
      <w:r w:rsidRPr="00F91B31">
        <w:rPr>
          <w:b/>
          <w:bCs/>
          <w:rtl/>
        </w:rPr>
        <w:br/>
        <w:t>الموافق: 10-شعبان-1440هـ</w:t>
      </w:r>
    </w:p>
    <w:p w14:paraId="32567C5E" w14:textId="77777777" w:rsidR="00FE25FB" w:rsidRDefault="007631E5" w:rsidP="00F91B31">
      <w:pPr>
        <w:jc w:val="right"/>
      </w:pPr>
    </w:p>
    <w:sectPr w:rsidR="00FE2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B2"/>
    <w:rsid w:val="00210F11"/>
    <w:rsid w:val="003B5BB2"/>
    <w:rsid w:val="00473414"/>
    <w:rsid w:val="004D6CFA"/>
    <w:rsid w:val="00616B51"/>
    <w:rsid w:val="007631E5"/>
    <w:rsid w:val="00F9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381DC"/>
  <w15:chartTrackingRefBased/>
  <w15:docId w15:val="{5FA57883-7B8E-4DDC-8866-4DD34E2D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Falouqa</dc:creator>
  <cp:keywords/>
  <dc:description/>
  <cp:lastModifiedBy>Mohamed Al Wahedi</cp:lastModifiedBy>
  <cp:revision>2</cp:revision>
  <dcterms:created xsi:type="dcterms:W3CDTF">2023-02-10T04:19:00Z</dcterms:created>
  <dcterms:modified xsi:type="dcterms:W3CDTF">2023-02-10T04:19:00Z</dcterms:modified>
</cp:coreProperties>
</file>